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69" w:rsidRDefault="00C11F8A" w:rsidP="0080301E">
      <w:pPr>
        <w:suppressAutoHyphens w:val="0"/>
        <w:spacing w:line="264" w:lineRule="auto"/>
        <w:jc w:val="center"/>
        <w:rPr>
          <w:b/>
        </w:rPr>
      </w:pPr>
      <w:r>
        <w:rPr>
          <w:b/>
        </w:rPr>
        <w:t>СВЕДЕНИЯ О ВЗНОСАХ</w:t>
      </w:r>
      <w:r w:rsidR="00C04FB5">
        <w:rPr>
          <w:b/>
        </w:rPr>
        <w:t xml:space="preserve"> в СА «КС»</w:t>
      </w:r>
    </w:p>
    <w:p w:rsidR="00CB5B46" w:rsidRPr="0080301E" w:rsidRDefault="00CB5B46" w:rsidP="00CB5B46">
      <w:pPr>
        <w:widowControl w:val="0"/>
        <w:autoSpaceDE w:val="0"/>
        <w:autoSpaceDN w:val="0"/>
        <w:adjustRightInd w:val="0"/>
        <w:spacing w:line="264" w:lineRule="auto"/>
        <w:ind w:firstLine="567"/>
        <w:jc w:val="both"/>
      </w:pPr>
    </w:p>
    <w:p w:rsidR="00840092" w:rsidRDefault="00840092" w:rsidP="00CB5B46">
      <w:pPr>
        <w:suppressAutoHyphens w:val="0"/>
        <w:spacing w:line="264" w:lineRule="auto"/>
        <w:ind w:firstLine="567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Взносы в Компенсационные фонды:</w:t>
      </w:r>
    </w:p>
    <w:p w:rsidR="00840092" w:rsidRPr="002908AA" w:rsidRDefault="00840092" w:rsidP="00CB5B46">
      <w:pPr>
        <w:suppressAutoHyphens w:val="0"/>
        <w:spacing w:line="264" w:lineRule="auto"/>
        <w:ind w:firstLine="567"/>
        <w:jc w:val="both"/>
      </w:pPr>
      <w:r>
        <w:t>Минимальные размеры в</w:t>
      </w:r>
      <w:r w:rsidRPr="002908AA">
        <w:t>знос</w:t>
      </w:r>
      <w:r>
        <w:t>ов</w:t>
      </w:r>
      <w:r w:rsidRPr="002908AA">
        <w:t xml:space="preserve"> в компенсационный фонд возмещения вреда (КФВВ) </w:t>
      </w:r>
      <w:r>
        <w:t>и в</w:t>
      </w:r>
      <w:r w:rsidRPr="002908AA">
        <w:t>знос</w:t>
      </w:r>
      <w:r>
        <w:t>ов</w:t>
      </w:r>
      <w:r w:rsidRPr="002908AA">
        <w:t xml:space="preserve"> в компенсационный фонд обеспечения договорных обязательств (КФОДО) </w:t>
      </w:r>
      <w:r>
        <w:t xml:space="preserve">установлены </w:t>
      </w:r>
      <w:hyperlink r:id="rId6" w:anchor="J2x4swTZl2H44EXc" w:history="1">
        <w:r w:rsidRPr="0080301E">
          <w:rPr>
            <w:rStyle w:val="a7"/>
          </w:rPr>
          <w:t>п. 12 и п. 13 ст. 55.16 Градостроительного кодекса РФ</w:t>
        </w:r>
      </w:hyperlink>
      <w:r>
        <w:t>: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07"/>
        <w:gridCol w:w="1253"/>
        <w:gridCol w:w="3157"/>
        <w:gridCol w:w="1378"/>
        <w:gridCol w:w="3936"/>
      </w:tblGrid>
      <w:tr w:rsidR="00840092" w:rsidRPr="003427EF" w:rsidTr="008F0FEA">
        <w:tc>
          <w:tcPr>
            <w:tcW w:w="632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center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 xml:space="preserve">Уровни </w:t>
            </w:r>
            <w:proofErr w:type="gramStart"/>
            <w:r w:rsidRPr="003427EF">
              <w:rPr>
                <w:bCs/>
                <w:lang w:eastAsia="ru-RU"/>
              </w:rPr>
              <w:t>ответствен-</w:t>
            </w:r>
            <w:proofErr w:type="spellStart"/>
            <w:r w:rsidRPr="003427EF">
              <w:rPr>
                <w:bCs/>
                <w:lang w:eastAsia="ru-RU"/>
              </w:rPr>
              <w:t>ности</w:t>
            </w:r>
            <w:proofErr w:type="spellEnd"/>
            <w:proofErr w:type="gramEnd"/>
          </w:p>
        </w:tc>
        <w:tc>
          <w:tcPr>
            <w:tcW w:w="563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center"/>
              <w:rPr>
                <w:bCs/>
                <w:lang w:eastAsia="ru-RU"/>
              </w:rPr>
            </w:pPr>
            <w:r w:rsidRPr="003427EF">
              <w:rPr>
                <w:bCs/>
                <w:lang w:val="en-US" w:eastAsia="ru-RU"/>
              </w:rPr>
              <w:t>Min</w:t>
            </w:r>
            <w:r w:rsidRPr="003427EF">
              <w:rPr>
                <w:bCs/>
                <w:lang w:eastAsia="ru-RU"/>
              </w:rPr>
              <w:t xml:space="preserve"> размер взноса в КФВВ, в рублях</w:t>
            </w:r>
          </w:p>
        </w:tc>
        <w:tc>
          <w:tcPr>
            <w:tcW w:w="141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center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Стоимость работ по СРКрСн по одному договору</w:t>
            </w:r>
          </w:p>
        </w:tc>
        <w:tc>
          <w:tcPr>
            <w:tcW w:w="619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center"/>
              <w:rPr>
                <w:bCs/>
                <w:lang w:eastAsia="ru-RU"/>
              </w:rPr>
            </w:pPr>
            <w:r w:rsidRPr="003427EF">
              <w:rPr>
                <w:bCs/>
                <w:lang w:val="en-US" w:eastAsia="ru-RU"/>
              </w:rPr>
              <w:t>Min</w:t>
            </w:r>
            <w:r w:rsidRPr="003427EF">
              <w:rPr>
                <w:bCs/>
                <w:lang w:eastAsia="ru-RU"/>
              </w:rPr>
              <w:t xml:space="preserve"> размер взноса в КФОДО, в рублях</w:t>
            </w:r>
          </w:p>
        </w:tc>
        <w:tc>
          <w:tcPr>
            <w:tcW w:w="1768" w:type="pct"/>
          </w:tcPr>
          <w:p w:rsidR="00840092" w:rsidRPr="00F11A3E" w:rsidRDefault="00840092" w:rsidP="00F11A3E">
            <w:pPr>
              <w:pStyle w:val="a8"/>
              <w:spacing w:before="0" w:beforeAutospacing="0" w:after="0" w:afterAutospacing="0" w:line="180" w:lineRule="atLeast"/>
              <w:ind w:firstLine="540"/>
              <w:jc w:val="both"/>
            </w:pPr>
            <w:r w:rsidRPr="003427EF">
              <w:rPr>
                <w:bCs/>
              </w:rPr>
              <w:t>Предельный размер всех обязательств</w:t>
            </w:r>
            <w:r w:rsidR="00F11A3E">
              <w:rPr>
                <w:bCs/>
              </w:rPr>
              <w:t xml:space="preserve"> по </w:t>
            </w:r>
            <w:r w:rsidR="00F11A3E">
              <w:t>договорам строительного подряда, договорам подряда на осуществление сноса с использованием конкурентных способов заключения договоров</w:t>
            </w:r>
            <w:r w:rsidRPr="003427EF">
              <w:rPr>
                <w:bCs/>
              </w:rPr>
              <w:t>, в рублях</w:t>
            </w:r>
          </w:p>
        </w:tc>
      </w:tr>
      <w:tr w:rsidR="00840092" w:rsidTr="008F0FEA">
        <w:tc>
          <w:tcPr>
            <w:tcW w:w="632" w:type="pct"/>
          </w:tcPr>
          <w:p w:rsidR="00840092" w:rsidRPr="0031742A" w:rsidRDefault="00840092" w:rsidP="00CB5B46">
            <w:pPr>
              <w:spacing w:line="264" w:lineRule="auto"/>
              <w:jc w:val="both"/>
            </w:pPr>
            <w:r w:rsidRPr="0031742A">
              <w:t>Первый, простой</w:t>
            </w:r>
          </w:p>
        </w:tc>
        <w:tc>
          <w:tcPr>
            <w:tcW w:w="563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100 000</w:t>
            </w:r>
          </w:p>
        </w:tc>
        <w:tc>
          <w:tcPr>
            <w:tcW w:w="141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не превышает 90 млн. руб.</w:t>
            </w:r>
          </w:p>
        </w:tc>
        <w:tc>
          <w:tcPr>
            <w:tcW w:w="619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200 000</w:t>
            </w:r>
          </w:p>
        </w:tc>
        <w:tc>
          <w:tcPr>
            <w:tcW w:w="176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не превышает 90 млн. руб.</w:t>
            </w:r>
          </w:p>
        </w:tc>
      </w:tr>
      <w:tr w:rsidR="00840092" w:rsidTr="008F0FEA">
        <w:tc>
          <w:tcPr>
            <w:tcW w:w="632" w:type="pct"/>
          </w:tcPr>
          <w:p w:rsidR="00840092" w:rsidRPr="0031742A" w:rsidRDefault="00840092" w:rsidP="00CB5B46">
            <w:pPr>
              <w:spacing w:line="264" w:lineRule="auto"/>
              <w:jc w:val="both"/>
            </w:pPr>
            <w:r w:rsidRPr="0031742A">
              <w:t>Второй</w:t>
            </w:r>
          </w:p>
        </w:tc>
        <w:tc>
          <w:tcPr>
            <w:tcW w:w="563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 xml:space="preserve">500 000 </w:t>
            </w:r>
          </w:p>
        </w:tc>
        <w:tc>
          <w:tcPr>
            <w:tcW w:w="141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не превышает 500 млн. руб.</w:t>
            </w:r>
          </w:p>
        </w:tc>
        <w:tc>
          <w:tcPr>
            <w:tcW w:w="619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2 500 000</w:t>
            </w:r>
          </w:p>
        </w:tc>
        <w:tc>
          <w:tcPr>
            <w:tcW w:w="176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не превышает 500 млн. руб.</w:t>
            </w:r>
          </w:p>
        </w:tc>
      </w:tr>
      <w:tr w:rsidR="00840092" w:rsidTr="008F0FEA">
        <w:tc>
          <w:tcPr>
            <w:tcW w:w="632" w:type="pct"/>
          </w:tcPr>
          <w:p w:rsidR="00840092" w:rsidRPr="0031742A" w:rsidRDefault="00840092" w:rsidP="00CB5B46">
            <w:pPr>
              <w:spacing w:line="264" w:lineRule="auto"/>
              <w:jc w:val="both"/>
            </w:pPr>
            <w:r w:rsidRPr="0031742A">
              <w:t>Третий</w:t>
            </w:r>
          </w:p>
        </w:tc>
        <w:tc>
          <w:tcPr>
            <w:tcW w:w="563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1 500 000</w:t>
            </w:r>
          </w:p>
        </w:tc>
        <w:tc>
          <w:tcPr>
            <w:tcW w:w="141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не превышает 3 млрд. руб.</w:t>
            </w:r>
          </w:p>
        </w:tc>
        <w:tc>
          <w:tcPr>
            <w:tcW w:w="619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4 500 000</w:t>
            </w:r>
          </w:p>
        </w:tc>
        <w:tc>
          <w:tcPr>
            <w:tcW w:w="176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не превышает 3 млрд. руб.</w:t>
            </w:r>
          </w:p>
        </w:tc>
      </w:tr>
      <w:tr w:rsidR="00840092" w:rsidTr="008F0FEA">
        <w:tc>
          <w:tcPr>
            <w:tcW w:w="632" w:type="pct"/>
          </w:tcPr>
          <w:p w:rsidR="00840092" w:rsidRPr="0031742A" w:rsidRDefault="00840092" w:rsidP="00CB5B46">
            <w:pPr>
              <w:spacing w:line="264" w:lineRule="auto"/>
              <w:jc w:val="both"/>
            </w:pPr>
            <w:r w:rsidRPr="0031742A">
              <w:t>Четвёртый</w:t>
            </w:r>
          </w:p>
        </w:tc>
        <w:tc>
          <w:tcPr>
            <w:tcW w:w="563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2 000 000</w:t>
            </w:r>
          </w:p>
        </w:tc>
        <w:tc>
          <w:tcPr>
            <w:tcW w:w="141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не превышает 10 млрд. руб.</w:t>
            </w:r>
          </w:p>
        </w:tc>
        <w:tc>
          <w:tcPr>
            <w:tcW w:w="619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7 000 000</w:t>
            </w:r>
          </w:p>
        </w:tc>
        <w:tc>
          <w:tcPr>
            <w:tcW w:w="176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не превышает 10 млрд. руб.</w:t>
            </w:r>
          </w:p>
        </w:tc>
      </w:tr>
      <w:tr w:rsidR="00840092" w:rsidTr="008F0FEA">
        <w:tc>
          <w:tcPr>
            <w:tcW w:w="632" w:type="pct"/>
          </w:tcPr>
          <w:p w:rsidR="00840092" w:rsidRPr="0031742A" w:rsidRDefault="00840092" w:rsidP="00CB5B46">
            <w:pPr>
              <w:spacing w:line="264" w:lineRule="auto"/>
              <w:jc w:val="both"/>
            </w:pPr>
            <w:r w:rsidRPr="0031742A">
              <w:t>Пятый</w:t>
            </w:r>
          </w:p>
        </w:tc>
        <w:tc>
          <w:tcPr>
            <w:tcW w:w="563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5 000 000</w:t>
            </w:r>
          </w:p>
        </w:tc>
        <w:tc>
          <w:tcPr>
            <w:tcW w:w="141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10 млрд. и более</w:t>
            </w:r>
          </w:p>
        </w:tc>
        <w:tc>
          <w:tcPr>
            <w:tcW w:w="619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25 000 000</w:t>
            </w:r>
          </w:p>
        </w:tc>
        <w:tc>
          <w:tcPr>
            <w:tcW w:w="1768" w:type="pct"/>
          </w:tcPr>
          <w:p w:rsidR="00840092" w:rsidRPr="003427EF" w:rsidRDefault="00840092" w:rsidP="00CB5B46">
            <w:pPr>
              <w:suppressAutoHyphens w:val="0"/>
              <w:spacing w:line="264" w:lineRule="auto"/>
              <w:jc w:val="both"/>
              <w:rPr>
                <w:bCs/>
                <w:lang w:eastAsia="ru-RU"/>
              </w:rPr>
            </w:pPr>
            <w:r w:rsidRPr="003427EF">
              <w:rPr>
                <w:bCs/>
                <w:lang w:eastAsia="ru-RU"/>
              </w:rPr>
              <w:t>10 млрд. и более</w:t>
            </w:r>
          </w:p>
        </w:tc>
      </w:tr>
    </w:tbl>
    <w:p w:rsidR="00840092" w:rsidRPr="003607FA" w:rsidRDefault="00840092" w:rsidP="00CB5B46">
      <w:pPr>
        <w:spacing w:line="264" w:lineRule="auto"/>
        <w:ind w:firstLine="567"/>
        <w:rPr>
          <w:b/>
          <w:sz w:val="16"/>
          <w:szCs w:val="16"/>
        </w:rPr>
      </w:pPr>
    </w:p>
    <w:p w:rsidR="0080301E" w:rsidRPr="0080301E" w:rsidRDefault="001818F6" w:rsidP="00CB5B46">
      <w:pPr>
        <w:spacing w:line="264" w:lineRule="auto"/>
        <w:ind w:firstLine="567"/>
      </w:pPr>
      <w:r w:rsidRPr="0080301E">
        <w:rPr>
          <w:b/>
        </w:rPr>
        <w:t>Вступительный взнос</w:t>
      </w:r>
      <w:r>
        <w:t xml:space="preserve"> – 10 000 (десять тысяч)  рублей, </w:t>
      </w:r>
      <w:r>
        <w:rPr>
          <w:sz w:val="23"/>
          <w:szCs w:val="23"/>
        </w:rPr>
        <w:t xml:space="preserve">единовременный взнос, уплачиваемый при приеме в члены СРО. </w:t>
      </w:r>
    </w:p>
    <w:p w:rsidR="005C3DB2" w:rsidRDefault="005C3DB2" w:rsidP="005C3DB2">
      <w:pPr>
        <w:widowControl w:val="0"/>
        <w:autoSpaceDE w:val="0"/>
        <w:autoSpaceDN w:val="0"/>
        <w:adjustRightInd w:val="0"/>
        <w:spacing w:line="264" w:lineRule="auto"/>
        <w:ind w:firstLine="567"/>
        <w:jc w:val="both"/>
      </w:pPr>
      <w:r w:rsidRPr="0080301E">
        <w:t>Организация считается членом СРО со дня поступления на счета СРО вступительного взноса и взноса в КФВВ и КФОДО (при намерении участвовать в заключени</w:t>
      </w:r>
      <w:proofErr w:type="gramStart"/>
      <w:r w:rsidRPr="0080301E">
        <w:t>и</w:t>
      </w:r>
      <w:proofErr w:type="gramEnd"/>
      <w:r w:rsidRPr="0080301E">
        <w:t xml:space="preserve"> договоров посредством конкурентных процедур).</w:t>
      </w:r>
    </w:p>
    <w:p w:rsidR="005C3DB2" w:rsidRDefault="005C3DB2" w:rsidP="005C3DB2">
      <w:pPr>
        <w:widowControl w:val="0"/>
        <w:autoSpaceDE w:val="0"/>
        <w:autoSpaceDN w:val="0"/>
        <w:adjustRightInd w:val="0"/>
        <w:spacing w:line="264" w:lineRule="auto"/>
        <w:ind w:firstLine="567"/>
        <w:jc w:val="both"/>
        <w:rPr>
          <w:b/>
        </w:rPr>
      </w:pPr>
      <w:r w:rsidRPr="0080301E">
        <w:t xml:space="preserve">Вступительный взнос, взнос в КФВВ, взнос в КФОДО </w:t>
      </w:r>
      <w:r w:rsidRPr="0080301E">
        <w:rPr>
          <w:b/>
          <w:color w:val="C00000"/>
        </w:rPr>
        <w:t>уплачиваются на три (!) разных банковских счёта</w:t>
      </w:r>
      <w:r w:rsidRPr="0080301E">
        <w:t xml:space="preserve">. </w:t>
      </w:r>
      <w:r w:rsidRPr="0080301E">
        <w:rPr>
          <w:b/>
        </w:rPr>
        <w:t>СА «КС» не вправе перераспределять взносы между этими банковскими счетами.</w:t>
      </w:r>
    </w:p>
    <w:p w:rsidR="0080301E" w:rsidRPr="002908AA" w:rsidRDefault="0080301E" w:rsidP="00CB5B46">
      <w:pPr>
        <w:suppressAutoHyphens w:val="0"/>
        <w:spacing w:line="264" w:lineRule="auto"/>
        <w:ind w:firstLine="567"/>
        <w:jc w:val="both"/>
        <w:rPr>
          <w:b/>
          <w:bCs/>
          <w:lang w:eastAsia="ru-RU"/>
        </w:rPr>
      </w:pPr>
    </w:p>
    <w:p w:rsidR="001818F6" w:rsidRPr="001818F6" w:rsidRDefault="001818F6" w:rsidP="00CB5B46">
      <w:pPr>
        <w:suppressAutoHyphens w:val="0"/>
        <w:spacing w:line="264" w:lineRule="auto"/>
        <w:ind w:firstLine="567"/>
        <w:jc w:val="both"/>
        <w:rPr>
          <w:b/>
          <w:color w:val="000000"/>
        </w:rPr>
      </w:pPr>
      <w:r w:rsidRPr="001818F6">
        <w:rPr>
          <w:b/>
          <w:color w:val="000000"/>
        </w:rPr>
        <w:t>Регулярные членские взносы</w:t>
      </w:r>
    </w:p>
    <w:p w:rsidR="001818F6" w:rsidRPr="0031742A" w:rsidRDefault="001818F6" w:rsidP="00CB5B46">
      <w:pPr>
        <w:suppressAutoHyphens w:val="0"/>
        <w:spacing w:line="264" w:lineRule="auto"/>
        <w:ind w:firstLine="567"/>
        <w:jc w:val="both"/>
      </w:pPr>
      <w:r>
        <w:rPr>
          <w:color w:val="000000"/>
        </w:rPr>
        <w:t xml:space="preserve">В СА «КС» </w:t>
      </w:r>
      <w:r w:rsidRPr="0031742A">
        <w:t>дифференцированн</w:t>
      </w:r>
      <w:r>
        <w:t>ая система</w:t>
      </w:r>
      <w:r w:rsidRPr="0031742A">
        <w:t xml:space="preserve"> определения размера регулярного членского взноса.  Размер взноса определяется по наибольшему уровню ответственности члена СРО, исходя из размера взноса члена СРО в компенсационный фонд возмещения вреда или в</w:t>
      </w:r>
      <w:r>
        <w:t> </w:t>
      </w:r>
      <w:r w:rsidRPr="0031742A">
        <w:t xml:space="preserve">компенсационный фонд обеспечения договорных обязательств: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4786"/>
      </w:tblGrid>
      <w:tr w:rsidR="001818F6" w:rsidRPr="0031742A" w:rsidTr="00840092">
        <w:tc>
          <w:tcPr>
            <w:tcW w:w="28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Наибольший уровень ответственности члена СРО по УФВВ или КФОДО</w:t>
            </w:r>
          </w:p>
        </w:tc>
        <w:tc>
          <w:tcPr>
            <w:tcW w:w="21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 xml:space="preserve">Размер членского взноса </w:t>
            </w:r>
          </w:p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в месяц, в рублях</w:t>
            </w:r>
          </w:p>
        </w:tc>
      </w:tr>
      <w:tr w:rsidR="001818F6" w:rsidRPr="0031742A" w:rsidTr="00840092">
        <w:tc>
          <w:tcPr>
            <w:tcW w:w="28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Первый, простой</w:t>
            </w:r>
          </w:p>
        </w:tc>
        <w:tc>
          <w:tcPr>
            <w:tcW w:w="21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7 000</w:t>
            </w:r>
          </w:p>
        </w:tc>
      </w:tr>
      <w:tr w:rsidR="001818F6" w:rsidRPr="0031742A" w:rsidTr="00840092">
        <w:tc>
          <w:tcPr>
            <w:tcW w:w="28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Второй</w:t>
            </w:r>
          </w:p>
        </w:tc>
        <w:tc>
          <w:tcPr>
            <w:tcW w:w="21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8 000</w:t>
            </w:r>
          </w:p>
        </w:tc>
      </w:tr>
      <w:tr w:rsidR="001818F6" w:rsidRPr="0031742A" w:rsidTr="00840092">
        <w:tc>
          <w:tcPr>
            <w:tcW w:w="28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Третий</w:t>
            </w:r>
          </w:p>
        </w:tc>
        <w:tc>
          <w:tcPr>
            <w:tcW w:w="21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9 000</w:t>
            </w:r>
          </w:p>
        </w:tc>
      </w:tr>
      <w:tr w:rsidR="001818F6" w:rsidRPr="0031742A" w:rsidTr="00840092">
        <w:tc>
          <w:tcPr>
            <w:tcW w:w="28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Четвёртый</w:t>
            </w:r>
          </w:p>
        </w:tc>
        <w:tc>
          <w:tcPr>
            <w:tcW w:w="21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10 000</w:t>
            </w:r>
          </w:p>
        </w:tc>
      </w:tr>
      <w:tr w:rsidR="001818F6" w:rsidRPr="0031742A" w:rsidTr="00840092">
        <w:tc>
          <w:tcPr>
            <w:tcW w:w="28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Пятый</w:t>
            </w:r>
          </w:p>
        </w:tc>
        <w:tc>
          <w:tcPr>
            <w:tcW w:w="2150" w:type="pct"/>
            <w:shd w:val="clear" w:color="auto" w:fill="auto"/>
          </w:tcPr>
          <w:p w:rsidR="001818F6" w:rsidRPr="0031742A" w:rsidRDefault="001818F6" w:rsidP="00CB5B46">
            <w:pPr>
              <w:spacing w:line="264" w:lineRule="auto"/>
              <w:jc w:val="both"/>
            </w:pPr>
            <w:r w:rsidRPr="0031742A">
              <w:t>15 000</w:t>
            </w:r>
          </w:p>
        </w:tc>
      </w:tr>
    </w:tbl>
    <w:p w:rsidR="00482669" w:rsidRPr="003607FA" w:rsidRDefault="00482669" w:rsidP="00CB5B46">
      <w:pPr>
        <w:spacing w:line="264" w:lineRule="auto"/>
        <w:ind w:firstLine="567"/>
        <w:jc w:val="both"/>
        <w:rPr>
          <w:b/>
          <w:sz w:val="16"/>
          <w:szCs w:val="16"/>
        </w:rPr>
      </w:pPr>
    </w:p>
    <w:p w:rsidR="00482669" w:rsidRPr="00D57CA0" w:rsidRDefault="00482669" w:rsidP="00CB5B46">
      <w:pPr>
        <w:spacing w:line="264" w:lineRule="auto"/>
        <w:ind w:firstLine="567"/>
        <w:jc w:val="both"/>
        <w:rPr>
          <w:b/>
        </w:rPr>
      </w:pPr>
      <w:r w:rsidRPr="00D57CA0">
        <w:rPr>
          <w:b/>
        </w:rPr>
        <w:t>Дополнительные имущественные взносы (целевые взносы)</w:t>
      </w:r>
      <w:r w:rsidRPr="00D57CA0">
        <w:t xml:space="preserve"> – уплачиваются для достижения </w:t>
      </w:r>
      <w:r w:rsidR="006244A8" w:rsidRPr="00D57CA0">
        <w:t>определе</w:t>
      </w:r>
      <w:r w:rsidRPr="00D57CA0">
        <w:t xml:space="preserve">нных целей деятельности Ассоциации или в силу федерального закона. Если иное не установлено федеральным законом, внутренними документами СА «КС», то размер или порядок </w:t>
      </w:r>
      <w:r w:rsidR="006244A8" w:rsidRPr="00D57CA0">
        <w:t>расче</w:t>
      </w:r>
      <w:r w:rsidRPr="00D57CA0">
        <w:t>та и уплаты целевых взносов устанавливаются отдельными решениями компетентного органа управления Ассоциации.</w:t>
      </w:r>
    </w:p>
    <w:p w:rsidR="001818F6" w:rsidRPr="00444FBC" w:rsidRDefault="006244A8" w:rsidP="00CB5B46">
      <w:pPr>
        <w:spacing w:line="264" w:lineRule="auto"/>
        <w:ind w:firstLine="567"/>
        <w:jc w:val="both"/>
      </w:pPr>
      <w:r w:rsidRPr="00D57CA0">
        <w:rPr>
          <w:b/>
        </w:rPr>
        <w:t>Целевой е</w:t>
      </w:r>
      <w:r w:rsidR="001818F6" w:rsidRPr="00D57CA0">
        <w:rPr>
          <w:b/>
        </w:rPr>
        <w:t>жегодный взнос в НОСТРОЙ</w:t>
      </w:r>
      <w:r w:rsidR="001818F6" w:rsidRPr="00D57CA0">
        <w:t xml:space="preserve"> –</w:t>
      </w:r>
      <w:r w:rsidR="003607FA">
        <w:t xml:space="preserve"> </w:t>
      </w:r>
      <w:r w:rsidR="005B60F6" w:rsidRPr="003607FA">
        <w:rPr>
          <w:b/>
          <w:color w:val="FF0000"/>
        </w:rPr>
        <w:t>8 000 рублей</w:t>
      </w:r>
      <w:r w:rsidR="001818F6" w:rsidRPr="00D57CA0">
        <w:t xml:space="preserve">. </w:t>
      </w:r>
      <w:r w:rsidR="001818F6" w:rsidRPr="003F004E">
        <w:t xml:space="preserve">В СА «КС» принято решение об уплате </w:t>
      </w:r>
      <w:r w:rsidR="00444FBC" w:rsidRPr="003F004E">
        <w:t xml:space="preserve"> </w:t>
      </w:r>
      <w:r w:rsidR="001818F6" w:rsidRPr="003F004E">
        <w:t>взноса</w:t>
      </w:r>
      <w:r w:rsidR="00444FBC" w:rsidRPr="003F004E">
        <w:t>, как и в предыдущие годы,</w:t>
      </w:r>
      <w:r w:rsidR="001818F6" w:rsidRPr="003F004E">
        <w:t xml:space="preserve"> </w:t>
      </w:r>
      <w:r w:rsidR="00444FBC" w:rsidRPr="003F004E">
        <w:t>за счет</w:t>
      </w:r>
      <w:r w:rsidR="001818F6" w:rsidRPr="003F004E">
        <w:t xml:space="preserve"> сметы Ассоциации.</w:t>
      </w:r>
      <w:r w:rsidR="00444FBC" w:rsidRPr="00444FBC">
        <w:t xml:space="preserve">  </w:t>
      </w:r>
    </w:p>
    <w:p w:rsidR="00840092" w:rsidRPr="00D57CA0" w:rsidRDefault="00840092" w:rsidP="00CB5B46">
      <w:pPr>
        <w:pStyle w:val="Default"/>
        <w:ind w:firstLine="567"/>
        <w:jc w:val="both"/>
      </w:pPr>
      <w:r w:rsidRPr="00D57CA0">
        <w:rPr>
          <w:b/>
          <w:bCs/>
        </w:rPr>
        <w:t>Размер, порядок расчёта и уплаты вступительного взноса, членских взносов установлены</w:t>
      </w:r>
    </w:p>
    <w:p w:rsidR="0080301E" w:rsidRPr="00D57CA0" w:rsidRDefault="003607FA" w:rsidP="003607FA">
      <w:pPr>
        <w:spacing w:line="264" w:lineRule="auto"/>
        <w:jc w:val="both"/>
      </w:pPr>
      <w:hyperlink r:id="rId7" w:history="1">
        <w:r>
          <w:rPr>
            <w:rStyle w:val="a7"/>
            <w:rFonts w:eastAsiaTheme="majorEastAsia"/>
            <w:color w:val="2474BF"/>
            <w:sz w:val="22"/>
            <w:szCs w:val="22"/>
            <w:shd w:val="clear" w:color="auto" w:fill="FFFFFF"/>
          </w:rPr>
          <w:t>Положение о членстве в Саморегулируемой ассоциации «Красноярские строители» (СА «КС»), в том числе о требованиях к членам С</w:t>
        </w:r>
        <w:r>
          <w:rPr>
            <w:rStyle w:val="a7"/>
            <w:rFonts w:eastAsiaTheme="majorEastAsia"/>
            <w:color w:val="2474BF"/>
            <w:sz w:val="22"/>
            <w:szCs w:val="22"/>
            <w:shd w:val="clear" w:color="auto" w:fill="FFFFFF"/>
          </w:rPr>
          <w:t xml:space="preserve">аморегулируемой ассоциации </w:t>
        </w:r>
        <w:bookmarkStart w:id="0" w:name="_GoBack"/>
        <w:bookmarkEnd w:id="0"/>
        <w:r>
          <w:rPr>
            <w:rStyle w:val="a7"/>
            <w:rFonts w:eastAsiaTheme="majorEastAsia"/>
            <w:color w:val="2474BF"/>
            <w:sz w:val="22"/>
            <w:szCs w:val="22"/>
            <w:shd w:val="clear" w:color="auto" w:fill="FFFFFF"/>
          </w:rPr>
          <w:t>«Красноярские строители», о размерах, порядке расчета и уплаты вступительного взноса, членских взносов</w:t>
        </w:r>
      </w:hyperlink>
    </w:p>
    <w:sectPr w:rsidR="0080301E" w:rsidRPr="00D57CA0" w:rsidSect="003607FA">
      <w:pgSz w:w="11906" w:h="16838"/>
      <w:pgMar w:top="284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89A"/>
    <w:rsid w:val="00042AB7"/>
    <w:rsid w:val="001818F6"/>
    <w:rsid w:val="001D61EA"/>
    <w:rsid w:val="003427EF"/>
    <w:rsid w:val="003607FA"/>
    <w:rsid w:val="003F004E"/>
    <w:rsid w:val="0043452F"/>
    <w:rsid w:val="00444FBC"/>
    <w:rsid w:val="00482669"/>
    <w:rsid w:val="005B60F6"/>
    <w:rsid w:val="005C3DB2"/>
    <w:rsid w:val="0061107A"/>
    <w:rsid w:val="006244A8"/>
    <w:rsid w:val="007D189A"/>
    <w:rsid w:val="0080301E"/>
    <w:rsid w:val="00840092"/>
    <w:rsid w:val="00893D4C"/>
    <w:rsid w:val="00B36BE1"/>
    <w:rsid w:val="00B8025C"/>
    <w:rsid w:val="00C04FB5"/>
    <w:rsid w:val="00C11F8A"/>
    <w:rsid w:val="00C7686A"/>
    <w:rsid w:val="00CB5B46"/>
    <w:rsid w:val="00D30EB7"/>
    <w:rsid w:val="00D57CA0"/>
    <w:rsid w:val="00F004E8"/>
    <w:rsid w:val="00F1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D61EA"/>
    <w:pPr>
      <w:keepNext/>
      <w:keepLines/>
      <w:suppressAutoHyphens w:val="0"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D61EA"/>
    <w:pPr>
      <w:suppressAutoHyphens w:val="0"/>
      <w:ind w:left="720"/>
      <w:contextualSpacing/>
    </w:pPr>
    <w:rPr>
      <w:lang w:eastAsia="ru-RU"/>
    </w:rPr>
  </w:style>
  <w:style w:type="character" w:customStyle="1" w:styleId="a4">
    <w:name w:val="Абзац списка Знак"/>
    <w:link w:val="a3"/>
    <w:uiPriority w:val="34"/>
    <w:locked/>
    <w:rsid w:val="001D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D61EA"/>
    <w:pPr>
      <w:spacing w:line="276" w:lineRule="auto"/>
      <w:jc w:val="left"/>
      <w:outlineLvl w:val="9"/>
    </w:pPr>
  </w:style>
  <w:style w:type="paragraph" w:customStyle="1" w:styleId="Default">
    <w:name w:val="Default"/>
    <w:rsid w:val="001818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D30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80301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11A3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FollowedHyperlink"/>
    <w:basedOn w:val="a0"/>
    <w:uiPriority w:val="99"/>
    <w:semiHidden/>
    <w:unhideWhenUsed/>
    <w:rsid w:val="003607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D61EA"/>
    <w:pPr>
      <w:keepNext/>
      <w:keepLines/>
      <w:suppressAutoHyphens w:val="0"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D61EA"/>
    <w:pPr>
      <w:suppressAutoHyphens w:val="0"/>
      <w:ind w:left="720"/>
      <w:contextualSpacing/>
    </w:pPr>
    <w:rPr>
      <w:lang w:eastAsia="ru-RU"/>
    </w:rPr>
  </w:style>
  <w:style w:type="character" w:customStyle="1" w:styleId="a4">
    <w:name w:val="Абзац списка Знак"/>
    <w:link w:val="a3"/>
    <w:uiPriority w:val="34"/>
    <w:locked/>
    <w:rsid w:val="001D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D61EA"/>
    <w:pPr>
      <w:spacing w:line="276" w:lineRule="auto"/>
      <w:jc w:val="left"/>
      <w:outlineLvl w:val="9"/>
    </w:pPr>
  </w:style>
  <w:style w:type="paragraph" w:customStyle="1" w:styleId="Default">
    <w:name w:val="Default"/>
    <w:rsid w:val="001818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D30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80301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11A3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FollowedHyperlink"/>
    <w:basedOn w:val="a0"/>
    <w:uiPriority w:val="99"/>
    <w:semiHidden/>
    <w:unhideWhenUsed/>
    <w:rsid w:val="003607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ro-krasstroy.ru/documents/pologeniya/20170801/20250512_pologenie_o_chlenstve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cons/cgi/online.cgi?req=doc&amp;rnd=RNWiSQ&amp;base=LAW&amp;n=437094&amp;cacheid=28A9FCA375C8C6B831B394CCB60D53F2&amp;mode=ru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E9E2-B35A-4D78-8DDC-74891C1D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 Александрова</dc:creator>
  <cp:lastModifiedBy>Марина Владимировна Александрова</cp:lastModifiedBy>
  <cp:revision>3</cp:revision>
  <dcterms:created xsi:type="dcterms:W3CDTF">2025-06-02T04:02:00Z</dcterms:created>
  <dcterms:modified xsi:type="dcterms:W3CDTF">2025-06-02T04:04:00Z</dcterms:modified>
</cp:coreProperties>
</file>